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890E" w14:textId="4FFD2B5F" w:rsidR="000F7D48" w:rsidRPr="00E33D95" w:rsidRDefault="000F7D48" w:rsidP="00E33D95">
      <w:pPr>
        <w:rPr>
          <w:b/>
          <w:sz w:val="36"/>
          <w:szCs w:val="36"/>
        </w:rPr>
      </w:pPr>
      <w:r w:rsidRPr="00E33D95">
        <w:rPr>
          <w:b/>
          <w:sz w:val="36"/>
          <w:szCs w:val="36"/>
        </w:rPr>
        <w:t xml:space="preserve">Informationen zum </w:t>
      </w:r>
      <w:r w:rsidR="00E33D95" w:rsidRPr="00E33D95">
        <w:rPr>
          <w:b/>
          <w:sz w:val="36"/>
          <w:szCs w:val="36"/>
          <w:u w:val="single"/>
        </w:rPr>
        <w:t>Sachkundenachweis für Hundehalter</w:t>
      </w:r>
    </w:p>
    <w:p w14:paraId="0191BBF8" w14:textId="77777777" w:rsidR="000F7D48" w:rsidRDefault="000F7D48" w:rsidP="000F7D4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Wer muss den Kurs absolvieren?</w:t>
      </w:r>
    </w:p>
    <w:p w14:paraId="4CFDB1A5" w14:textId="77777777" w:rsidR="006B4546" w:rsidRDefault="005727F9" w:rsidP="005727F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de-DE" w:eastAsia="de-DE"/>
        </w:rPr>
      </w:pPr>
      <w:r w:rsidRPr="005727F9">
        <w:rPr>
          <w:rFonts w:eastAsia="Times New Roman" w:cstheme="minorHAnsi"/>
          <w:lang w:val="de-DE" w:eastAsia="de-DE"/>
        </w:rPr>
        <w:t>Dieser Kurs ist nur für jene Hundehalter erforderlich, die sich ab dem 01.01.2013 einen Hund zugelegt haben</w:t>
      </w:r>
      <w:r w:rsidR="006B4546">
        <w:rPr>
          <w:rFonts w:eastAsia="Times New Roman" w:cstheme="minorHAnsi"/>
          <w:lang w:val="de-DE" w:eastAsia="de-DE"/>
        </w:rPr>
        <w:t xml:space="preserve">. </w:t>
      </w:r>
    </w:p>
    <w:p w14:paraId="15A18CBC" w14:textId="77777777" w:rsidR="00E33D95" w:rsidRDefault="00E33D95" w:rsidP="005727F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de-DE" w:eastAsia="de-DE"/>
        </w:rPr>
      </w:pPr>
    </w:p>
    <w:p w14:paraId="6D9437B7" w14:textId="342FB557" w:rsidR="006B4546" w:rsidRDefault="0084465F" w:rsidP="006B4546">
      <w:pPr>
        <w:spacing w:after="0"/>
        <w:jc w:val="both"/>
        <w:rPr>
          <w:rFonts w:eastAsia="Times New Roman" w:cstheme="minorHAnsi"/>
          <w:b/>
          <w:bCs/>
          <w:lang w:eastAsia="de-DE"/>
        </w:rPr>
      </w:pPr>
      <w:r>
        <w:rPr>
          <w:rFonts w:eastAsia="Times New Roman" w:cstheme="minorHAnsi"/>
          <w:b/>
          <w:bCs/>
          <w:lang w:eastAsia="de-DE"/>
        </w:rPr>
        <w:t>Laut 2. Tierhaltungsverordnung § 2a Abs 5 sind f</w:t>
      </w:r>
      <w:r w:rsidR="006B4546" w:rsidRPr="006B4546">
        <w:rPr>
          <w:rFonts w:eastAsia="Times New Roman" w:cstheme="minorHAnsi"/>
          <w:b/>
          <w:bCs/>
          <w:lang w:eastAsia="de-DE"/>
        </w:rPr>
        <w:t>olgende Personen von der Absolvierung des Theoriekurses und der Praxiseinheit befreit:</w:t>
      </w:r>
    </w:p>
    <w:p w14:paraId="4FA20ACB" w14:textId="016A7EEF" w:rsidR="006B4546" w:rsidRPr="006B4546" w:rsidRDefault="006B4546" w:rsidP="006B4546">
      <w:pPr>
        <w:pStyle w:val="Listenabsatz"/>
        <w:numPr>
          <w:ilvl w:val="0"/>
          <w:numId w:val="5"/>
        </w:numPr>
        <w:spacing w:after="0"/>
        <w:jc w:val="both"/>
        <w:rPr>
          <w:rFonts w:eastAsia="Times New Roman" w:cstheme="minorHAnsi"/>
          <w:lang w:eastAsia="de-DE"/>
        </w:rPr>
      </w:pPr>
      <w:r w:rsidRPr="006B4546">
        <w:rPr>
          <w:rFonts w:eastAsia="Times New Roman" w:cstheme="minorHAnsi"/>
          <w:lang w:eastAsia="de-DE"/>
        </w:rPr>
        <w:t>Personen, die zum Zeitpunkt der Aufnahme eines Hundes bereits einen Hund bzw. mehrere Hunde halten und dies durch eine Registrierung in einer Datenbank gemäß § 24a TSchG belegen können;</w:t>
      </w:r>
    </w:p>
    <w:p w14:paraId="07588D44" w14:textId="77777777" w:rsidR="006B4546" w:rsidRPr="006B4546" w:rsidRDefault="006B4546" w:rsidP="006B4546">
      <w:pPr>
        <w:pStyle w:val="Listenabsatz"/>
        <w:numPr>
          <w:ilvl w:val="0"/>
          <w:numId w:val="5"/>
        </w:numPr>
        <w:spacing w:after="0"/>
        <w:jc w:val="both"/>
        <w:rPr>
          <w:rFonts w:eastAsia="Times New Roman" w:cstheme="minorHAnsi"/>
          <w:lang w:eastAsia="de-DE"/>
        </w:rPr>
      </w:pPr>
      <w:r w:rsidRPr="006B4546">
        <w:rPr>
          <w:rFonts w:eastAsia="Times New Roman" w:cstheme="minorHAnsi"/>
          <w:lang w:eastAsia="de-DE"/>
        </w:rPr>
        <w:t>Personen, die zum Zeitpunkt der Aufnahme eines Hundes keinen Hund halten, jedoch innerhalb der letzten zwei Jahre zumindest einen Hund gehalten haben und dies durch eine Registrierung in einer Datenbank gemäß § 24a TSchG belegen können. Die vorangegangene Haltung muss zumindest einen Zeitraum von zwei Jahren umfasst haben;</w:t>
      </w:r>
    </w:p>
    <w:p w14:paraId="30EA733A" w14:textId="4A113A3D" w:rsidR="006B4546" w:rsidRPr="006B4546" w:rsidRDefault="006B4546" w:rsidP="006B4546">
      <w:pPr>
        <w:pStyle w:val="Listenabsatz"/>
        <w:numPr>
          <w:ilvl w:val="0"/>
          <w:numId w:val="5"/>
        </w:numPr>
        <w:spacing w:after="0"/>
        <w:jc w:val="both"/>
        <w:rPr>
          <w:rFonts w:eastAsia="Times New Roman" w:cstheme="minorHAnsi"/>
          <w:lang w:eastAsia="de-DE"/>
        </w:rPr>
      </w:pPr>
      <w:r w:rsidRPr="006B4546">
        <w:rPr>
          <w:rFonts w:eastAsia="Times New Roman" w:cstheme="minorHAnsi"/>
          <w:lang w:eastAsia="de-DE"/>
        </w:rPr>
        <w:t>Personen, die zum Zeitpunkt der Aufnahme eines Hundes keinen Hund halten, jedoch innerhalb der letzten sieben Jahre einen Hund gehalten haben und dies durch eine Registrierung in einer Datenbank gemäß § 24a TSchG belegen können, sofern die Halterin bzw. der Halter nachweislich eine Ausbildung positiv abgeschlossen hat, die spezifische Kenntnisse zu Haltung und Umgang mit Hunden beinhaltet</w:t>
      </w:r>
      <w:r w:rsidR="0024165B">
        <w:rPr>
          <w:rFonts w:eastAsia="Times New Roman" w:cstheme="minorHAnsi"/>
          <w:lang w:eastAsia="de-DE"/>
        </w:rPr>
        <w:t xml:space="preserve"> (BGH1 oder</w:t>
      </w:r>
      <w:r w:rsidR="004637D6">
        <w:rPr>
          <w:rFonts w:eastAsia="Times New Roman" w:cstheme="minorHAnsi"/>
          <w:lang w:eastAsia="de-DE"/>
        </w:rPr>
        <w:t xml:space="preserve"> </w:t>
      </w:r>
      <w:r w:rsidR="0024165B">
        <w:rPr>
          <w:rFonts w:eastAsia="Times New Roman" w:cstheme="minorHAnsi"/>
          <w:lang w:eastAsia="de-DE"/>
        </w:rPr>
        <w:t>gleichwertig)</w:t>
      </w:r>
      <w:r w:rsidRPr="006B4546">
        <w:rPr>
          <w:rFonts w:eastAsia="Times New Roman" w:cstheme="minorHAnsi"/>
          <w:lang w:eastAsia="de-DE"/>
        </w:rPr>
        <w:t>. Die vorangegangene Haltung muss zumindest einen Zeitraum von zwei Jahren umfasst haben;</w:t>
      </w:r>
    </w:p>
    <w:p w14:paraId="6FD9308E" w14:textId="77777777" w:rsidR="006B4546" w:rsidRPr="006B4546" w:rsidRDefault="006B4546" w:rsidP="006B4546">
      <w:pPr>
        <w:pStyle w:val="Listenabsatz"/>
        <w:numPr>
          <w:ilvl w:val="0"/>
          <w:numId w:val="5"/>
        </w:numPr>
        <w:spacing w:after="0"/>
        <w:jc w:val="both"/>
        <w:rPr>
          <w:rFonts w:eastAsia="Times New Roman" w:cstheme="minorHAnsi"/>
          <w:lang w:eastAsia="de-DE"/>
        </w:rPr>
      </w:pPr>
      <w:r w:rsidRPr="006B4546">
        <w:rPr>
          <w:rFonts w:eastAsia="Times New Roman" w:cstheme="minorHAnsi"/>
          <w:lang w:eastAsia="de-DE"/>
        </w:rPr>
        <w:t>Personen, die das Gütesiegel „Tierschutzqualifizierte Hundetrainerin“ bzw. „Tierschutzqualifizierter Hundetrainer“ führen;</w:t>
      </w:r>
    </w:p>
    <w:p w14:paraId="072551E0" w14:textId="77777777" w:rsidR="006B4546" w:rsidRPr="006B4546" w:rsidRDefault="006B4546" w:rsidP="006B4546">
      <w:pPr>
        <w:pStyle w:val="Listenabsatz"/>
        <w:numPr>
          <w:ilvl w:val="0"/>
          <w:numId w:val="5"/>
        </w:numPr>
        <w:spacing w:after="0"/>
        <w:jc w:val="both"/>
        <w:rPr>
          <w:rFonts w:eastAsia="Times New Roman" w:cstheme="minorHAnsi"/>
          <w:lang w:eastAsia="de-DE"/>
        </w:rPr>
      </w:pPr>
      <w:r w:rsidRPr="006B4546">
        <w:rPr>
          <w:rFonts w:eastAsia="Times New Roman" w:cstheme="minorHAnsi"/>
          <w:lang w:eastAsia="de-DE"/>
        </w:rPr>
        <w:t xml:space="preserve">Zertifizierte Trainerinnen und Trainer der </w:t>
      </w:r>
      <w:proofErr w:type="spellStart"/>
      <w:r w:rsidRPr="006B4546">
        <w:rPr>
          <w:rFonts w:eastAsia="Times New Roman" w:cstheme="minorHAnsi"/>
          <w:lang w:eastAsia="de-DE"/>
        </w:rPr>
        <w:t>DogAudit</w:t>
      </w:r>
      <w:proofErr w:type="spellEnd"/>
      <w:r w:rsidRPr="006B4546">
        <w:rPr>
          <w:rFonts w:eastAsia="Times New Roman" w:cstheme="minorHAnsi"/>
          <w:lang w:eastAsia="de-DE"/>
        </w:rPr>
        <w:t xml:space="preserve"> </w:t>
      </w:r>
      <w:proofErr w:type="spellStart"/>
      <w:r w:rsidRPr="006B4546">
        <w:rPr>
          <w:rFonts w:eastAsia="Times New Roman" w:cstheme="minorHAnsi"/>
          <w:lang w:eastAsia="de-DE"/>
        </w:rPr>
        <w:t>eGen</w:t>
      </w:r>
      <w:proofErr w:type="spellEnd"/>
      <w:r w:rsidRPr="006B4546">
        <w:rPr>
          <w:rFonts w:eastAsia="Times New Roman" w:cstheme="minorHAnsi"/>
          <w:lang w:eastAsia="de-DE"/>
        </w:rPr>
        <w:t>;</w:t>
      </w:r>
    </w:p>
    <w:p w14:paraId="70EE8CB6" w14:textId="77777777" w:rsidR="006B4546" w:rsidRPr="006B4546" w:rsidRDefault="006B4546" w:rsidP="006B4546">
      <w:pPr>
        <w:pStyle w:val="Listenabsatz"/>
        <w:numPr>
          <w:ilvl w:val="0"/>
          <w:numId w:val="5"/>
        </w:numPr>
        <w:spacing w:after="0"/>
        <w:jc w:val="both"/>
        <w:rPr>
          <w:rFonts w:eastAsia="Times New Roman" w:cstheme="minorHAnsi"/>
          <w:lang w:eastAsia="de-DE"/>
        </w:rPr>
      </w:pPr>
      <w:r w:rsidRPr="006B4546">
        <w:rPr>
          <w:rFonts w:eastAsia="Times New Roman" w:cstheme="minorHAnsi"/>
          <w:lang w:eastAsia="de-DE"/>
        </w:rPr>
        <w:t xml:space="preserve">Aktive Trainerinnen und Trainer des Österreichischen </w:t>
      </w:r>
      <w:proofErr w:type="spellStart"/>
      <w:r w:rsidRPr="006B4546">
        <w:rPr>
          <w:rFonts w:eastAsia="Times New Roman" w:cstheme="minorHAnsi"/>
          <w:lang w:eastAsia="de-DE"/>
        </w:rPr>
        <w:t>Kynologenverbands</w:t>
      </w:r>
      <w:proofErr w:type="spellEnd"/>
      <w:r w:rsidRPr="006B4546">
        <w:rPr>
          <w:rFonts w:eastAsia="Times New Roman" w:cstheme="minorHAnsi"/>
          <w:lang w:eastAsia="de-DE"/>
        </w:rPr>
        <w:t>, des Österreichischen Jagdgebrauchshunde-Verbands und der Österreichischen Hundesport Union;</w:t>
      </w:r>
    </w:p>
    <w:p w14:paraId="2C0C2079" w14:textId="77777777" w:rsidR="006B4546" w:rsidRPr="006B4546" w:rsidRDefault="006B4546" w:rsidP="006B4546">
      <w:pPr>
        <w:pStyle w:val="Listenabsatz"/>
        <w:numPr>
          <w:ilvl w:val="0"/>
          <w:numId w:val="5"/>
        </w:numPr>
        <w:spacing w:after="0"/>
        <w:jc w:val="both"/>
        <w:rPr>
          <w:rFonts w:eastAsia="Times New Roman" w:cstheme="minorHAnsi"/>
          <w:lang w:eastAsia="de-DE"/>
        </w:rPr>
      </w:pPr>
      <w:r w:rsidRPr="006B4546">
        <w:rPr>
          <w:rFonts w:eastAsia="Times New Roman" w:cstheme="minorHAnsi"/>
          <w:lang w:eastAsia="de-DE"/>
        </w:rPr>
        <w:t xml:space="preserve">Aktive Leistungsrichterinnen und Leistungsrichter des Österreichischen </w:t>
      </w:r>
      <w:proofErr w:type="spellStart"/>
      <w:r w:rsidRPr="006B4546">
        <w:rPr>
          <w:rFonts w:eastAsia="Times New Roman" w:cstheme="minorHAnsi"/>
          <w:lang w:eastAsia="de-DE"/>
        </w:rPr>
        <w:t>Kynologenverbands</w:t>
      </w:r>
      <w:proofErr w:type="spellEnd"/>
      <w:r w:rsidRPr="006B4546">
        <w:rPr>
          <w:rFonts w:eastAsia="Times New Roman" w:cstheme="minorHAnsi"/>
          <w:lang w:eastAsia="de-DE"/>
        </w:rPr>
        <w:t>, des Österreichischen Jagdgebrauchshunde-Verbands und der Österreichischen Hundesport Union;</w:t>
      </w:r>
    </w:p>
    <w:p w14:paraId="76DF5DC5" w14:textId="77777777" w:rsidR="006B4546" w:rsidRPr="006B4546" w:rsidRDefault="006B4546" w:rsidP="006B4546">
      <w:pPr>
        <w:pStyle w:val="Listenabsatz"/>
        <w:numPr>
          <w:ilvl w:val="0"/>
          <w:numId w:val="5"/>
        </w:numPr>
        <w:spacing w:after="0"/>
        <w:jc w:val="both"/>
        <w:rPr>
          <w:rFonts w:eastAsia="Times New Roman" w:cstheme="minorHAnsi"/>
          <w:lang w:eastAsia="de-DE"/>
        </w:rPr>
      </w:pPr>
      <w:r w:rsidRPr="006B4546">
        <w:rPr>
          <w:rFonts w:eastAsia="Times New Roman" w:cstheme="minorHAnsi"/>
          <w:lang w:eastAsia="de-DE"/>
        </w:rPr>
        <w:t>Tierärztinnen bzw. Tierärzte;</w:t>
      </w:r>
    </w:p>
    <w:p w14:paraId="6A130559" w14:textId="77777777" w:rsidR="006B4546" w:rsidRPr="006B4546" w:rsidRDefault="006B4546" w:rsidP="006B4546">
      <w:pPr>
        <w:pStyle w:val="Listenabsatz"/>
        <w:numPr>
          <w:ilvl w:val="0"/>
          <w:numId w:val="5"/>
        </w:numPr>
        <w:spacing w:after="0"/>
        <w:jc w:val="both"/>
        <w:rPr>
          <w:rFonts w:eastAsia="Times New Roman" w:cstheme="minorHAnsi"/>
          <w:lang w:eastAsia="de-DE"/>
        </w:rPr>
      </w:pPr>
      <w:r w:rsidRPr="006B4546">
        <w:rPr>
          <w:rFonts w:eastAsia="Times New Roman" w:cstheme="minorHAnsi"/>
          <w:lang w:eastAsia="de-DE"/>
        </w:rPr>
        <w:t>Absolventinnen bzw. Absolventen des Universitätslehrgangs „Angewandte Kynologie“;</w:t>
      </w:r>
    </w:p>
    <w:p w14:paraId="67DAA9AF" w14:textId="77777777" w:rsidR="006B4546" w:rsidRPr="006B4546" w:rsidRDefault="006B4546" w:rsidP="006B4546">
      <w:pPr>
        <w:pStyle w:val="Listenabsatz"/>
        <w:numPr>
          <w:ilvl w:val="0"/>
          <w:numId w:val="5"/>
        </w:numPr>
        <w:spacing w:after="0"/>
        <w:jc w:val="both"/>
        <w:rPr>
          <w:rFonts w:eastAsia="Times New Roman" w:cstheme="minorHAnsi"/>
          <w:lang w:eastAsia="de-DE"/>
        </w:rPr>
      </w:pPr>
      <w:r w:rsidRPr="006B4546">
        <w:rPr>
          <w:rFonts w:eastAsia="Times New Roman" w:cstheme="minorHAnsi"/>
          <w:lang w:eastAsia="de-DE"/>
        </w:rPr>
        <w:t>Kontrollorgane gemäß der Tierschutz-Kontrollverordnung (</w:t>
      </w:r>
      <w:proofErr w:type="spellStart"/>
      <w:r w:rsidRPr="006B4546">
        <w:rPr>
          <w:rFonts w:eastAsia="Times New Roman" w:cstheme="minorHAnsi"/>
          <w:lang w:eastAsia="de-DE"/>
        </w:rPr>
        <w:t>TSchKV</w:t>
      </w:r>
      <w:proofErr w:type="spellEnd"/>
      <w:r w:rsidRPr="006B4546">
        <w:rPr>
          <w:rFonts w:eastAsia="Times New Roman" w:cstheme="minorHAnsi"/>
          <w:lang w:eastAsia="de-DE"/>
        </w:rPr>
        <w:t>), </w:t>
      </w:r>
      <w:hyperlink r:id="rId8" w:tgtFrame="_blank" w:history="1">
        <w:r w:rsidRPr="006B4546">
          <w:rPr>
            <w:rStyle w:val="Hyperlink"/>
            <w:rFonts w:eastAsia="Times New Roman" w:cstheme="minorHAnsi"/>
            <w:lang w:eastAsia="de-DE"/>
          </w:rPr>
          <w:t>BGBl. II Nr. 492/2004</w:t>
        </w:r>
      </w:hyperlink>
      <w:r w:rsidRPr="006B4546">
        <w:rPr>
          <w:rFonts w:eastAsia="Times New Roman" w:cstheme="minorHAnsi"/>
          <w:lang w:eastAsia="de-DE"/>
        </w:rPr>
        <w:t>;</w:t>
      </w:r>
    </w:p>
    <w:p w14:paraId="5AEC8E9F" w14:textId="77777777" w:rsidR="006B4546" w:rsidRPr="006B4546" w:rsidRDefault="006B4546" w:rsidP="006B4546">
      <w:pPr>
        <w:pStyle w:val="Listenabsatz"/>
        <w:numPr>
          <w:ilvl w:val="0"/>
          <w:numId w:val="5"/>
        </w:numPr>
        <w:spacing w:after="0"/>
        <w:jc w:val="both"/>
        <w:rPr>
          <w:rFonts w:eastAsia="Times New Roman" w:cstheme="minorHAnsi"/>
          <w:lang w:eastAsia="de-DE"/>
        </w:rPr>
      </w:pPr>
      <w:r w:rsidRPr="006B4546">
        <w:rPr>
          <w:rFonts w:eastAsia="Times New Roman" w:cstheme="minorHAnsi"/>
          <w:lang w:eastAsia="de-DE"/>
        </w:rPr>
        <w:t>Personen, die von der Landesregierung zur Durchführung der Theoriekurse gemäß Abs. 3 oder der Praxiseinheiten gemäß Abs. 4 namentlich veröffentlicht wurden;</w:t>
      </w:r>
    </w:p>
    <w:p w14:paraId="62E1862F" w14:textId="77777777" w:rsidR="006B4546" w:rsidRPr="006B4546" w:rsidRDefault="006B4546" w:rsidP="006B4546">
      <w:pPr>
        <w:pStyle w:val="Listenabsatz"/>
        <w:numPr>
          <w:ilvl w:val="0"/>
          <w:numId w:val="5"/>
        </w:numPr>
        <w:spacing w:after="0"/>
        <w:jc w:val="both"/>
        <w:rPr>
          <w:rFonts w:eastAsia="Times New Roman" w:cstheme="minorHAnsi"/>
          <w:lang w:eastAsia="de-DE"/>
        </w:rPr>
      </w:pPr>
      <w:r w:rsidRPr="006B4546">
        <w:rPr>
          <w:rFonts w:eastAsia="Times New Roman" w:cstheme="minorHAnsi"/>
          <w:lang w:eastAsia="de-DE"/>
        </w:rPr>
        <w:t>Hundeführerinnen und Hundeführer von Diensthunden im Sinne des § 1 Abs. 1 Diensthunde-Ausbildungsverordnung, (Diensthunde-</w:t>
      </w:r>
      <w:proofErr w:type="spellStart"/>
      <w:r w:rsidRPr="006B4546">
        <w:rPr>
          <w:rFonts w:eastAsia="Times New Roman" w:cstheme="minorHAnsi"/>
          <w:lang w:eastAsia="de-DE"/>
        </w:rPr>
        <w:t>AusbV</w:t>
      </w:r>
      <w:proofErr w:type="spellEnd"/>
      <w:r w:rsidRPr="006B4546">
        <w:rPr>
          <w:rFonts w:eastAsia="Times New Roman" w:cstheme="minorHAnsi"/>
          <w:lang w:eastAsia="de-DE"/>
        </w:rPr>
        <w:t>), </w:t>
      </w:r>
      <w:hyperlink r:id="rId9" w:tgtFrame="_blank" w:history="1">
        <w:r w:rsidRPr="006B4546">
          <w:rPr>
            <w:rStyle w:val="Hyperlink"/>
            <w:rFonts w:eastAsia="Times New Roman" w:cstheme="minorHAnsi"/>
            <w:lang w:eastAsia="de-DE"/>
          </w:rPr>
          <w:t>BGBl. II Nr. 494/2004</w:t>
        </w:r>
      </w:hyperlink>
      <w:r w:rsidRPr="006B4546">
        <w:rPr>
          <w:rFonts w:eastAsia="Times New Roman" w:cstheme="minorHAnsi"/>
          <w:lang w:eastAsia="de-DE"/>
        </w:rPr>
        <w:t>;</w:t>
      </w:r>
    </w:p>
    <w:p w14:paraId="07A5AE9B" w14:textId="77777777" w:rsidR="006B4546" w:rsidRPr="006B4546" w:rsidRDefault="006B4546" w:rsidP="006B4546">
      <w:pPr>
        <w:pStyle w:val="Listenabsatz"/>
        <w:numPr>
          <w:ilvl w:val="0"/>
          <w:numId w:val="5"/>
        </w:numPr>
        <w:spacing w:after="0"/>
        <w:jc w:val="both"/>
        <w:rPr>
          <w:rFonts w:eastAsia="Times New Roman" w:cstheme="minorHAnsi"/>
          <w:lang w:eastAsia="de-DE"/>
        </w:rPr>
      </w:pPr>
      <w:r w:rsidRPr="006B4546">
        <w:rPr>
          <w:rFonts w:eastAsia="Times New Roman" w:cstheme="minorHAnsi"/>
          <w:lang w:eastAsia="de-DE"/>
        </w:rPr>
        <w:t>Geprüfte Hundeführerinnen bzw. Hundeführer der Österreichischen Rettungshundebrigade, des Österreichischen Rettungsdienstes-Einsatzorganisation für Rettungshunde, der Rettungshundestaffel des Arbeiter-Samariter-Bundes Österreichs, des Bundesverbandes Rettungshunde Österreich, der Österreichischen Hundewasserrettung, der Suchhundestaffeln des Österreichischen Roten Kreuzes und der Suchhundestaffel der Österreichischen Hundesport-Union;</w:t>
      </w:r>
    </w:p>
    <w:p w14:paraId="736456FF" w14:textId="77777777" w:rsidR="006B4546" w:rsidRPr="006B4546" w:rsidRDefault="006B4546" w:rsidP="006B4546">
      <w:pPr>
        <w:pStyle w:val="Listenabsatz"/>
        <w:numPr>
          <w:ilvl w:val="0"/>
          <w:numId w:val="5"/>
        </w:numPr>
        <w:spacing w:after="0"/>
        <w:jc w:val="both"/>
        <w:rPr>
          <w:rFonts w:eastAsia="Times New Roman" w:cstheme="minorHAnsi"/>
          <w:lang w:eastAsia="de-DE"/>
        </w:rPr>
      </w:pPr>
      <w:r w:rsidRPr="006B4546">
        <w:rPr>
          <w:rFonts w:eastAsia="Times New Roman" w:cstheme="minorHAnsi"/>
          <w:lang w:eastAsia="de-DE"/>
        </w:rPr>
        <w:t>Personen, die eine Prüfung gemäß § 39a Bundesbehindertengesetz (BBG), </w:t>
      </w:r>
      <w:hyperlink r:id="rId10" w:tgtFrame="_blank" w:history="1">
        <w:r w:rsidRPr="006B4546">
          <w:rPr>
            <w:rStyle w:val="Hyperlink"/>
            <w:rFonts w:eastAsia="Times New Roman" w:cstheme="minorHAnsi"/>
            <w:lang w:eastAsia="de-DE"/>
          </w:rPr>
          <w:t>BGBl. Nr. 283/1990</w:t>
        </w:r>
      </w:hyperlink>
      <w:r w:rsidRPr="006B4546">
        <w:rPr>
          <w:rFonts w:eastAsia="Times New Roman" w:cstheme="minorHAnsi"/>
          <w:lang w:eastAsia="de-DE"/>
        </w:rPr>
        <w:t>, absolviert haben;</w:t>
      </w:r>
    </w:p>
    <w:p w14:paraId="6DCC30F4" w14:textId="77777777" w:rsidR="006B4546" w:rsidRPr="006B4546" w:rsidRDefault="006B4546" w:rsidP="006B4546">
      <w:pPr>
        <w:pStyle w:val="Listenabsatz"/>
        <w:numPr>
          <w:ilvl w:val="0"/>
          <w:numId w:val="5"/>
        </w:numPr>
        <w:spacing w:after="0"/>
        <w:jc w:val="both"/>
        <w:rPr>
          <w:rFonts w:eastAsia="Times New Roman" w:cstheme="minorHAnsi"/>
          <w:lang w:eastAsia="de-DE"/>
        </w:rPr>
      </w:pPr>
      <w:r w:rsidRPr="006B4546">
        <w:rPr>
          <w:rFonts w:eastAsia="Times New Roman" w:cstheme="minorHAnsi"/>
          <w:lang w:eastAsia="de-DE"/>
        </w:rPr>
        <w:t>hinsichtlich der Absolvierung des Theoriekurses: Personen, die bis 30.06.2027 auf Grund einer landesgesetzlichen Regelung einen theoretischen Sachkundenachweis für die Haltung von Hunden erlangt haben und</w:t>
      </w:r>
    </w:p>
    <w:p w14:paraId="1AE040C6" w14:textId="77777777" w:rsidR="006B4546" w:rsidRPr="006B4546" w:rsidRDefault="006B4546" w:rsidP="006B4546">
      <w:pPr>
        <w:pStyle w:val="Listenabsatz"/>
        <w:numPr>
          <w:ilvl w:val="0"/>
          <w:numId w:val="5"/>
        </w:numPr>
        <w:spacing w:after="0"/>
        <w:jc w:val="both"/>
        <w:rPr>
          <w:rFonts w:eastAsia="Times New Roman" w:cstheme="minorHAnsi"/>
          <w:lang w:eastAsia="de-DE"/>
        </w:rPr>
      </w:pPr>
      <w:r w:rsidRPr="006B4546">
        <w:rPr>
          <w:rFonts w:eastAsia="Times New Roman" w:cstheme="minorHAnsi"/>
          <w:lang w:eastAsia="de-DE"/>
        </w:rPr>
        <w:t>hinsichtlich der Absolvierung der Praxiseinheit: Personen, die bis 30.06.2027 auf Grund einer landesgesetzlichen Regelung einen praktischen Sachkundenachweis für die Haltung von Hunden erlangt haben.</w:t>
      </w:r>
    </w:p>
    <w:p w14:paraId="2AD94F75" w14:textId="77777777" w:rsidR="00485237" w:rsidRDefault="00485237" w:rsidP="00485237">
      <w:pPr>
        <w:spacing w:after="0"/>
        <w:jc w:val="both"/>
      </w:pPr>
    </w:p>
    <w:p w14:paraId="7C06699F" w14:textId="77777777" w:rsidR="000F7D48" w:rsidRDefault="000F7D48" w:rsidP="000F7D48">
      <w:pPr>
        <w:jc w:val="both"/>
      </w:pPr>
      <w:r w:rsidRPr="001902DE">
        <w:rPr>
          <w:u w:val="single"/>
        </w:rPr>
        <w:t>Bitte beachten:</w:t>
      </w:r>
      <w:r>
        <w:t xml:space="preserve"> Der Hund ist zum Kurs </w:t>
      </w:r>
      <w:r w:rsidRPr="00A81AF0">
        <w:rPr>
          <w:u w:val="single"/>
        </w:rPr>
        <w:t>NICHT</w:t>
      </w:r>
      <w:r>
        <w:t xml:space="preserve"> mitzunehmen!</w:t>
      </w:r>
    </w:p>
    <w:p w14:paraId="1D0EF0E0" w14:textId="77777777" w:rsidR="00485237" w:rsidRPr="00485237" w:rsidRDefault="00485237" w:rsidP="000F7D48">
      <w:pPr>
        <w:jc w:val="both"/>
        <w:rPr>
          <w:i/>
        </w:rPr>
      </w:pPr>
      <w:r w:rsidRPr="00485237">
        <w:rPr>
          <w:i/>
        </w:rPr>
        <w:t xml:space="preserve">Nach Absolvierung des Kurses wird Ihnen der Hundekundenachweis </w:t>
      </w:r>
      <w:r w:rsidR="00F85B96">
        <w:rPr>
          <w:i/>
        </w:rPr>
        <w:t>ausgefolgt</w:t>
      </w:r>
      <w:r w:rsidRPr="00485237">
        <w:rPr>
          <w:i/>
        </w:rPr>
        <w:t>.</w:t>
      </w:r>
    </w:p>
    <w:p w14:paraId="613B7B71" w14:textId="77777777" w:rsidR="00D10A95" w:rsidRPr="004E1DD0" w:rsidRDefault="000F7D48" w:rsidP="000F7D48">
      <w:pPr>
        <w:jc w:val="both"/>
        <w:rPr>
          <w:b/>
          <w:sz w:val="28"/>
          <w:szCs w:val="28"/>
        </w:rPr>
      </w:pPr>
      <w:r w:rsidRPr="00BB08DE">
        <w:rPr>
          <w:b/>
          <w:sz w:val="28"/>
          <w:szCs w:val="28"/>
        </w:rPr>
        <w:t>Wie funktioniert die Anmeldung?</w:t>
      </w:r>
    </w:p>
    <w:p w14:paraId="41FB957D" w14:textId="555DE0EF" w:rsidR="00F85B96" w:rsidRDefault="00F85B96" w:rsidP="00ED0FE2">
      <w:pPr>
        <w:jc w:val="both"/>
      </w:pPr>
      <w:r>
        <w:t>Durch Einzahlung des</w:t>
      </w:r>
      <w:r w:rsidR="00572454">
        <w:t xml:space="preserve"> </w:t>
      </w:r>
      <w:r w:rsidR="00572454" w:rsidRPr="007576E2">
        <w:rPr>
          <w:u w:val="single"/>
        </w:rPr>
        <w:t>Kursbeitrag</w:t>
      </w:r>
      <w:r>
        <w:rPr>
          <w:u w:val="single"/>
        </w:rPr>
        <w:t>es</w:t>
      </w:r>
      <w:r w:rsidR="00572454" w:rsidRPr="007576E2">
        <w:rPr>
          <w:u w:val="single"/>
        </w:rPr>
        <w:t xml:space="preserve"> in Höhe von </w:t>
      </w:r>
      <w:r w:rsidR="00E3552B" w:rsidRPr="007576E2">
        <w:rPr>
          <w:u w:val="single"/>
        </w:rPr>
        <w:t xml:space="preserve">€ </w:t>
      </w:r>
      <w:r w:rsidR="002519E3">
        <w:rPr>
          <w:u w:val="single"/>
        </w:rPr>
        <w:t>83</w:t>
      </w:r>
      <w:r w:rsidR="00F25EF8" w:rsidRPr="007576E2">
        <w:rPr>
          <w:u w:val="single"/>
        </w:rPr>
        <w:t>,6</w:t>
      </w:r>
      <w:r w:rsidR="00E3552B" w:rsidRPr="007576E2">
        <w:rPr>
          <w:u w:val="single"/>
        </w:rPr>
        <w:t>0</w:t>
      </w:r>
      <w:r w:rsidR="007576E2" w:rsidRPr="007576E2">
        <w:t xml:space="preserve"> </w:t>
      </w:r>
      <w:r>
        <w:t>und schriftlicher Bekanntgabe Ihrer Daten wie Name, Geburtsdatum, Adresse, Telefonnummer und E-Mail-Adresse werden Sie für den nächsten Kurs vorgemerkt.</w:t>
      </w:r>
    </w:p>
    <w:p w14:paraId="6BA2A46A" w14:textId="77777777" w:rsidR="00F85B96" w:rsidRDefault="00F85B96" w:rsidP="00ED0FE2">
      <w:pPr>
        <w:jc w:val="both"/>
      </w:pPr>
      <w:r>
        <w:t>Den Beitrag können</w:t>
      </w:r>
      <w:r w:rsidR="007576E2">
        <w:t xml:space="preserve"> Sie entweder direkt in der Infostelle der Bezirkshauptmannschaft Leoben - oder auf das Konto bei der Steiermärkischen Bank und Sparkassen AG, </w:t>
      </w:r>
      <w:r w:rsidR="007576E2" w:rsidRPr="00751631">
        <w:rPr>
          <w:rFonts w:ascii="Times New Roman" w:hAnsi="Times New Roman"/>
          <w:szCs w:val="18"/>
        </w:rPr>
        <w:t>IBAN: AT692081524000000406 • BIC: STSPAT2G</w:t>
      </w:r>
      <w:r w:rsidR="007576E2">
        <w:t xml:space="preserve"> einzahlen. </w:t>
      </w:r>
    </w:p>
    <w:p w14:paraId="598A65B3" w14:textId="77777777" w:rsidR="00E35469" w:rsidRDefault="000F7D48" w:rsidP="00ED0FE2">
      <w:pPr>
        <w:jc w:val="both"/>
      </w:pPr>
      <w:r>
        <w:t xml:space="preserve">Eine Absolvierung des Kurses </w:t>
      </w:r>
      <w:r w:rsidR="007576E2">
        <w:t>ohne vorherige Anmeldung</w:t>
      </w:r>
      <w:r w:rsidR="00F85B96">
        <w:t>/ Einzahlung</w:t>
      </w:r>
      <w:r w:rsidR="007576E2">
        <w:t xml:space="preserve"> ist nicht möglich</w:t>
      </w:r>
      <w:r>
        <w:t>.</w:t>
      </w:r>
    </w:p>
    <w:sectPr w:rsidR="00E35469" w:rsidSect="005724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46E53" w14:textId="77777777" w:rsidR="0024586A" w:rsidRDefault="0024586A" w:rsidP="009F4512">
      <w:pPr>
        <w:spacing w:after="0" w:line="240" w:lineRule="auto"/>
      </w:pPr>
      <w:r>
        <w:separator/>
      </w:r>
    </w:p>
  </w:endnote>
  <w:endnote w:type="continuationSeparator" w:id="0">
    <w:p w14:paraId="61725D50" w14:textId="77777777" w:rsidR="0024586A" w:rsidRDefault="0024586A" w:rsidP="009F4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34252" w14:textId="77777777" w:rsidR="0024586A" w:rsidRDefault="0024586A" w:rsidP="009F4512">
      <w:pPr>
        <w:spacing w:after="0" w:line="240" w:lineRule="auto"/>
      </w:pPr>
      <w:r>
        <w:separator/>
      </w:r>
    </w:p>
  </w:footnote>
  <w:footnote w:type="continuationSeparator" w:id="0">
    <w:p w14:paraId="4E3DD431" w14:textId="77777777" w:rsidR="0024586A" w:rsidRDefault="0024586A" w:rsidP="009F4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266FC"/>
    <w:multiLevelType w:val="hybridMultilevel"/>
    <w:tmpl w:val="A04AB6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A2C69"/>
    <w:multiLevelType w:val="hybridMultilevel"/>
    <w:tmpl w:val="082CBF7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53A1E"/>
    <w:multiLevelType w:val="hybridMultilevel"/>
    <w:tmpl w:val="BB0C4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F26F4"/>
    <w:multiLevelType w:val="multilevel"/>
    <w:tmpl w:val="26D4E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5A3E57"/>
    <w:multiLevelType w:val="hybridMultilevel"/>
    <w:tmpl w:val="4D203148"/>
    <w:lvl w:ilvl="0" w:tplc="119E3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934541">
    <w:abstractNumId w:val="4"/>
  </w:num>
  <w:num w:numId="2" w16cid:durableId="2007585368">
    <w:abstractNumId w:val="2"/>
  </w:num>
  <w:num w:numId="3" w16cid:durableId="395857076">
    <w:abstractNumId w:val="1"/>
  </w:num>
  <w:num w:numId="4" w16cid:durableId="781803218">
    <w:abstractNumId w:val="3"/>
  </w:num>
  <w:num w:numId="5" w16cid:durableId="58098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D48"/>
    <w:rsid w:val="000A532B"/>
    <w:rsid w:val="000F7D48"/>
    <w:rsid w:val="001902DE"/>
    <w:rsid w:val="001B07FA"/>
    <w:rsid w:val="001F37B8"/>
    <w:rsid w:val="0024165B"/>
    <w:rsid w:val="0024586A"/>
    <w:rsid w:val="00246952"/>
    <w:rsid w:val="002519E3"/>
    <w:rsid w:val="00282F43"/>
    <w:rsid w:val="00285C93"/>
    <w:rsid w:val="002F4C2F"/>
    <w:rsid w:val="00372A5F"/>
    <w:rsid w:val="004043CD"/>
    <w:rsid w:val="004637D6"/>
    <w:rsid w:val="00485237"/>
    <w:rsid w:val="004E1DD0"/>
    <w:rsid w:val="00572454"/>
    <w:rsid w:val="005727F9"/>
    <w:rsid w:val="006B4546"/>
    <w:rsid w:val="006C1623"/>
    <w:rsid w:val="00756216"/>
    <w:rsid w:val="007576E2"/>
    <w:rsid w:val="0084465F"/>
    <w:rsid w:val="00963BD1"/>
    <w:rsid w:val="009F3260"/>
    <w:rsid w:val="009F4512"/>
    <w:rsid w:val="00A00329"/>
    <w:rsid w:val="00A225E8"/>
    <w:rsid w:val="00A76CB8"/>
    <w:rsid w:val="00AE01B4"/>
    <w:rsid w:val="00B526A8"/>
    <w:rsid w:val="00B53C49"/>
    <w:rsid w:val="00B908A0"/>
    <w:rsid w:val="00C37E25"/>
    <w:rsid w:val="00C979E3"/>
    <w:rsid w:val="00D10A95"/>
    <w:rsid w:val="00E33D95"/>
    <w:rsid w:val="00E35469"/>
    <w:rsid w:val="00E3552B"/>
    <w:rsid w:val="00ED0FE2"/>
    <w:rsid w:val="00EF322F"/>
    <w:rsid w:val="00F25EF8"/>
    <w:rsid w:val="00F85B96"/>
    <w:rsid w:val="00F978F8"/>
    <w:rsid w:val="00FC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42A27"/>
  <w15:docId w15:val="{94DE9000-3DA1-4CB9-8321-8104313F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36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7D48"/>
    <w:pPr>
      <w:spacing w:after="200" w:line="276" w:lineRule="auto"/>
      <w:ind w:left="0" w:firstLine="0"/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56216"/>
    <w:pPr>
      <w:keepNext/>
      <w:outlineLvl w:val="0"/>
    </w:pPr>
    <w:rPr>
      <w:rFonts w:ascii="Garamond" w:eastAsia="Batang" w:hAnsi="Garamond"/>
      <w:b/>
      <w:bCs/>
      <w:sz w:val="36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6216"/>
    <w:rPr>
      <w:rFonts w:ascii="Garamond" w:eastAsia="Batang" w:hAnsi="Garamond"/>
      <w:b/>
      <w:bCs/>
      <w:sz w:val="36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0F7D4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76E2"/>
    <w:rPr>
      <w:rFonts w:ascii="Tahoma" w:eastAsiaTheme="minorHAnsi" w:hAnsi="Tahoma" w:cs="Tahoma"/>
      <w:sz w:val="16"/>
      <w:szCs w:val="16"/>
      <w:lang w:val="de-AT" w:eastAsia="en-US"/>
    </w:rPr>
  </w:style>
  <w:style w:type="character" w:styleId="Hyperlink">
    <w:name w:val="Hyperlink"/>
    <w:basedOn w:val="Absatz-Standardschriftart"/>
    <w:uiPriority w:val="99"/>
    <w:unhideWhenUsed/>
    <w:rsid w:val="005727F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4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1112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334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288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94292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7774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654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94291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735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265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6548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808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833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61420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773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040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05132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178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3811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64162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610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743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2130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494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521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70270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06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3652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94472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140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501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5716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548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171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36607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621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6840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8016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79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9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7780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244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648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4023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578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719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54675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3652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253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6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4115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049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940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82235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30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872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9842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755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189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21318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929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989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73644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095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602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7156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565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537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060465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596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44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4797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124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683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570281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623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881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4380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92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805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31610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235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328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53145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886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8722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1916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5763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2975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07696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356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826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50868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531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689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06456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421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318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s.bka.gv.at/eli/bgbl/II/2004/4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is.bka.gv.at/Dokumente/BgblPdf/1990_283_0/1990_283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s.bka.gv.at/eli/bgbl/II/2004/494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742D7-6014-4A08-B678-2B6CE4DC6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Horst Gründler</dc:creator>
  <cp:lastModifiedBy>Letizia Curtis</cp:lastModifiedBy>
  <cp:revision>11</cp:revision>
  <cp:lastPrinted>2026-07-17T09:26:00Z</cp:lastPrinted>
  <dcterms:created xsi:type="dcterms:W3CDTF">2020-06-18T09:00:00Z</dcterms:created>
  <dcterms:modified xsi:type="dcterms:W3CDTF">2026-07-17T09:49:00Z</dcterms:modified>
</cp:coreProperties>
</file>